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7F" w:rsidRPr="00BA4D7F" w:rsidRDefault="00BA4D7F" w:rsidP="00BA4D7F">
      <w:pPr>
        <w:pStyle w:val="a3"/>
        <w:spacing w:before="0" w:beforeAutospacing="0" w:after="0" w:afterAutospacing="0"/>
        <w:ind w:left="-709" w:right="-1" w:firstLine="709"/>
        <w:jc w:val="center"/>
        <w:rPr>
          <w:b/>
          <w:sz w:val="32"/>
          <w:szCs w:val="32"/>
        </w:rPr>
      </w:pPr>
      <w:r w:rsidRPr="00BA4D7F">
        <w:rPr>
          <w:b/>
          <w:sz w:val="32"/>
          <w:szCs w:val="32"/>
        </w:rPr>
        <w:t xml:space="preserve">Доклад на </w:t>
      </w:r>
      <w:proofErr w:type="spellStart"/>
      <w:r w:rsidRPr="00BA4D7F">
        <w:rPr>
          <w:b/>
          <w:sz w:val="32"/>
          <w:szCs w:val="32"/>
        </w:rPr>
        <w:t>пед</w:t>
      </w:r>
      <w:proofErr w:type="gramStart"/>
      <w:r w:rsidRPr="00BA4D7F">
        <w:rPr>
          <w:b/>
          <w:sz w:val="32"/>
          <w:szCs w:val="32"/>
        </w:rPr>
        <w:t>.с</w:t>
      </w:r>
      <w:proofErr w:type="gramEnd"/>
      <w:r w:rsidRPr="00BA4D7F">
        <w:rPr>
          <w:b/>
          <w:sz w:val="32"/>
          <w:szCs w:val="32"/>
        </w:rPr>
        <w:t>овете</w:t>
      </w:r>
      <w:proofErr w:type="spellEnd"/>
    </w:p>
    <w:p w:rsidR="00BA4D7F" w:rsidRDefault="00BA4D7F" w:rsidP="00BA4D7F">
      <w:pPr>
        <w:pStyle w:val="a3"/>
        <w:spacing w:before="0" w:beforeAutospacing="0" w:after="0" w:afterAutospacing="0"/>
        <w:ind w:left="-709" w:right="-1" w:firstLine="709"/>
        <w:jc w:val="right"/>
        <w:rPr>
          <w:sz w:val="28"/>
          <w:szCs w:val="28"/>
        </w:rPr>
      </w:pPr>
      <w:r>
        <w:rPr>
          <w:sz w:val="28"/>
          <w:szCs w:val="28"/>
        </w:rPr>
        <w:t>по теме «Система мониторинга по предмету «Английский язык»</w:t>
      </w:r>
    </w:p>
    <w:p w:rsidR="00BA4D7F" w:rsidRPr="00BA4D7F" w:rsidRDefault="00BA4D7F" w:rsidP="00BA4D7F">
      <w:pPr>
        <w:pStyle w:val="a3"/>
        <w:spacing w:before="0" w:beforeAutospacing="0" w:after="0" w:afterAutospacing="0"/>
        <w:ind w:left="-709" w:right="-1" w:firstLine="709"/>
        <w:jc w:val="right"/>
        <w:rPr>
          <w:sz w:val="28"/>
          <w:szCs w:val="28"/>
        </w:rPr>
      </w:pPr>
      <w:r>
        <w:rPr>
          <w:sz w:val="28"/>
          <w:szCs w:val="28"/>
        </w:rPr>
        <w:t xml:space="preserve">учителя английского языка МБОУ «Средняя школа№16 – Ц.О. </w:t>
      </w:r>
      <w:proofErr w:type="spellStart"/>
      <w:r>
        <w:rPr>
          <w:sz w:val="28"/>
          <w:szCs w:val="28"/>
        </w:rPr>
        <w:t>р.п</w:t>
      </w:r>
      <w:proofErr w:type="spellEnd"/>
      <w:r>
        <w:rPr>
          <w:sz w:val="28"/>
          <w:szCs w:val="28"/>
        </w:rPr>
        <w:t xml:space="preserve">. </w:t>
      </w:r>
      <w:bookmarkStart w:id="0" w:name="_GoBack"/>
      <w:bookmarkEnd w:id="0"/>
      <w:r>
        <w:rPr>
          <w:sz w:val="28"/>
          <w:szCs w:val="28"/>
        </w:rPr>
        <w:t xml:space="preserve">Первомайский, </w:t>
      </w:r>
      <w:proofErr w:type="spellStart"/>
      <w:r>
        <w:rPr>
          <w:sz w:val="28"/>
          <w:szCs w:val="28"/>
        </w:rPr>
        <w:t>с.п</w:t>
      </w:r>
      <w:proofErr w:type="spellEnd"/>
      <w:r>
        <w:rPr>
          <w:sz w:val="28"/>
          <w:szCs w:val="28"/>
        </w:rPr>
        <w:t xml:space="preserve">. «Средняя школа№15» </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Оценка качества образования - одна из сложнейших проблем российского образования. В теории социального управления качество определяется как уровень достижения поставленных целей, как соответствие неким стандартам, как степень удовлетворения ожиданий потребителя. Для эффективного управления, принятия обоснованных решений по управлению качеством образования на уровне школы необходимо обладать надежной и достоверной информацией о ходе образовательного процесса. Получение такой информации, на мой взгляд, возможно при осуществлении мониторинга. Понятие «мониторинг» пришло в педагогику из социологии. Образовательный мониторинг – это система организации, сбора, хранения, обработки и распространения информации. </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Контроль и мониторинг являются важнейшими факторами в процессе обучения любому предмету, в том числе и иностранному языку, они позволяет не только установить уровень успешности, но и выявить недостатки в знаниях, умениях и навыках и тем самым определить необходимость изменения, которые следует внести в методику работы.</w:t>
      </w:r>
    </w:p>
    <w:p w:rsidR="00D028B8"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На современном этапе роль мониторинга и контроля резко возрастает в связи с задачами введения нового школьного стандарта и обновления содержания обучения, а также развития новых технологий контроля и оценивания.</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 xml:space="preserve">Мониторинг качества </w:t>
      </w:r>
      <w:proofErr w:type="spellStart"/>
      <w:r w:rsidRPr="00D2296B">
        <w:rPr>
          <w:sz w:val="28"/>
          <w:szCs w:val="28"/>
        </w:rPr>
        <w:t>обученности</w:t>
      </w:r>
      <w:proofErr w:type="spellEnd"/>
      <w:r w:rsidRPr="00D2296B">
        <w:rPr>
          <w:sz w:val="28"/>
          <w:szCs w:val="28"/>
        </w:rPr>
        <w:t xml:space="preserve"> учащихся по английскому языку основывается на </w:t>
      </w:r>
      <w:proofErr w:type="spellStart"/>
      <w:r w:rsidRPr="00D2296B">
        <w:rPr>
          <w:sz w:val="28"/>
          <w:szCs w:val="28"/>
        </w:rPr>
        <w:t>компетентностном</w:t>
      </w:r>
      <w:proofErr w:type="spellEnd"/>
      <w:r w:rsidRPr="00D2296B">
        <w:rPr>
          <w:sz w:val="28"/>
          <w:szCs w:val="28"/>
        </w:rPr>
        <w:t xml:space="preserve"> подходе </w:t>
      </w:r>
      <w:proofErr w:type="spellStart"/>
      <w:r w:rsidRPr="00D2296B">
        <w:rPr>
          <w:sz w:val="28"/>
          <w:szCs w:val="28"/>
        </w:rPr>
        <w:t>т</w:t>
      </w:r>
      <w:proofErr w:type="gramStart"/>
      <w:r w:rsidRPr="00D2296B">
        <w:rPr>
          <w:sz w:val="28"/>
          <w:szCs w:val="28"/>
        </w:rPr>
        <w:t>.е</w:t>
      </w:r>
      <w:proofErr w:type="spellEnd"/>
      <w:proofErr w:type="gramEnd"/>
      <w:r w:rsidRPr="00D2296B">
        <w:rPr>
          <w:sz w:val="28"/>
          <w:szCs w:val="28"/>
        </w:rPr>
        <w:t xml:space="preserve"> представляет собой оценку ключевых компетенций обучающихся, в частности:</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языковую компетенцию – знания и сформированные на их основе речевые навыки</w:t>
      </w:r>
      <w:r w:rsidR="00187AE3" w:rsidRPr="00D2296B">
        <w:rPr>
          <w:sz w:val="28"/>
          <w:szCs w:val="28"/>
        </w:rPr>
        <w:t xml:space="preserve"> </w:t>
      </w:r>
      <w:r w:rsidR="00B33CC5" w:rsidRPr="00D2296B">
        <w:rPr>
          <w:sz w:val="28"/>
          <w:szCs w:val="28"/>
        </w:rPr>
        <w:t>(устные и письменные)</w:t>
      </w:r>
      <w:r w:rsidRPr="00D2296B">
        <w:rPr>
          <w:sz w:val="28"/>
          <w:szCs w:val="28"/>
        </w:rPr>
        <w:t>,</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коммуникативную компетенцию – умение пользоваться приобретенными знаниям</w:t>
      </w:r>
      <w:r w:rsidR="00B33CC5" w:rsidRPr="00D2296B">
        <w:rPr>
          <w:sz w:val="28"/>
          <w:szCs w:val="28"/>
        </w:rPr>
        <w:t>и в различных ситуациях общения,</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социокультурную компетенцию – знание страны изучаемого языка и национальные особенности в различных ситуациях общения.</w:t>
      </w:r>
    </w:p>
    <w:p w:rsidR="00D960AC" w:rsidRPr="00D2296B" w:rsidRDefault="00D960AC" w:rsidP="000B764D">
      <w:pPr>
        <w:pStyle w:val="a3"/>
        <w:spacing w:before="0" w:beforeAutospacing="0" w:after="0" w:afterAutospacing="0"/>
        <w:ind w:left="-709" w:right="-1" w:firstLine="709"/>
        <w:jc w:val="both"/>
        <w:rPr>
          <w:sz w:val="28"/>
          <w:szCs w:val="28"/>
        </w:rPr>
      </w:pPr>
      <w:r w:rsidRPr="00D2296B">
        <w:rPr>
          <w:sz w:val="28"/>
          <w:szCs w:val="28"/>
        </w:rPr>
        <w:t xml:space="preserve">Традиционными методами проверки и контроля знаний учащихся в процессе осуществления мониторинга являются: </w:t>
      </w:r>
      <w:proofErr w:type="gramStart"/>
      <w:r w:rsidRPr="00D2296B">
        <w:rPr>
          <w:i/>
          <w:iCs/>
          <w:sz w:val="28"/>
          <w:szCs w:val="28"/>
        </w:rPr>
        <w:t>устный</w:t>
      </w:r>
      <w:proofErr w:type="gramEnd"/>
      <w:r w:rsidRPr="00D2296B">
        <w:rPr>
          <w:sz w:val="28"/>
          <w:szCs w:val="28"/>
        </w:rPr>
        <w:t xml:space="preserve">, </w:t>
      </w:r>
      <w:r w:rsidRPr="00D2296B">
        <w:rPr>
          <w:i/>
          <w:iCs/>
          <w:sz w:val="28"/>
          <w:szCs w:val="28"/>
        </w:rPr>
        <w:t>письменный</w:t>
      </w:r>
      <w:r w:rsidRPr="00D2296B">
        <w:rPr>
          <w:sz w:val="28"/>
          <w:szCs w:val="28"/>
        </w:rPr>
        <w:t xml:space="preserve"> (с использованием карточек - заданий) и </w:t>
      </w:r>
      <w:r w:rsidRPr="00D2296B">
        <w:rPr>
          <w:i/>
          <w:iCs/>
          <w:sz w:val="28"/>
          <w:szCs w:val="28"/>
        </w:rPr>
        <w:t>тестовый</w:t>
      </w:r>
      <w:r w:rsidRPr="00D2296B">
        <w:rPr>
          <w:sz w:val="28"/>
          <w:szCs w:val="28"/>
        </w:rPr>
        <w:t>.</w:t>
      </w:r>
    </w:p>
    <w:p w:rsidR="00C7320B" w:rsidRPr="00D2296B" w:rsidRDefault="00C7320B" w:rsidP="000B764D">
      <w:pPr>
        <w:spacing w:after="0" w:line="240" w:lineRule="auto"/>
        <w:ind w:left="-709" w:right="-1" w:firstLine="709"/>
        <w:jc w:val="both"/>
        <w:rPr>
          <w:rFonts w:ascii="Times New Roman" w:eastAsia="Times New Roman" w:hAnsi="Times New Roman" w:cs="Times New Roman"/>
          <w:sz w:val="28"/>
          <w:szCs w:val="28"/>
          <w:lang w:eastAsia="ru-RU"/>
        </w:rPr>
      </w:pPr>
      <w:r w:rsidRPr="00D2296B">
        <w:rPr>
          <w:rFonts w:ascii="Times New Roman" w:eastAsia="Times New Roman" w:hAnsi="Times New Roman" w:cs="Times New Roman"/>
          <w:sz w:val="28"/>
          <w:szCs w:val="28"/>
          <w:lang w:eastAsia="ru-RU"/>
        </w:rPr>
        <w:t xml:space="preserve">1. </w:t>
      </w:r>
      <w:r w:rsidRPr="00D2296B">
        <w:rPr>
          <w:rFonts w:ascii="Times New Roman" w:eastAsia="Times New Roman" w:hAnsi="Times New Roman" w:cs="Times New Roman"/>
          <w:sz w:val="28"/>
          <w:szCs w:val="28"/>
          <w:u w:val="single"/>
          <w:lang w:eastAsia="ru-RU"/>
        </w:rPr>
        <w:t>Устный опрос</w:t>
      </w:r>
      <w:r w:rsidRPr="00D2296B">
        <w:rPr>
          <w:rFonts w:ascii="Times New Roman" w:eastAsia="Times New Roman" w:hAnsi="Times New Roman" w:cs="Times New Roman"/>
          <w:sz w:val="28"/>
          <w:szCs w:val="28"/>
          <w:lang w:eastAsia="ru-RU"/>
        </w:rPr>
        <w:t xml:space="preserve"> чаще всего проводится в индивидуальной форме. В начале опроса задается основной вопрос, который формулируется таким образом, чтобы учащийся мог дать развернутый ответ. Если же ученик затрудняется с ответом, то в этом случае задается вспомогательный вопрос. Также могут задаваться дополнительные вопросы для уточнения качества знаний школьника, но это должны быть вопросы, на которые ученик может </w:t>
      </w:r>
      <w:proofErr w:type="gramStart"/>
      <w:r w:rsidRPr="00D2296B">
        <w:rPr>
          <w:rFonts w:ascii="Times New Roman" w:eastAsia="Times New Roman" w:hAnsi="Times New Roman" w:cs="Times New Roman"/>
          <w:sz w:val="28"/>
          <w:szCs w:val="28"/>
          <w:lang w:eastAsia="ru-RU"/>
        </w:rPr>
        <w:t>ответить сразу и не задумываясь</w:t>
      </w:r>
      <w:proofErr w:type="gramEnd"/>
      <w:r w:rsidRPr="00D2296B">
        <w:rPr>
          <w:rFonts w:ascii="Times New Roman" w:eastAsia="Times New Roman" w:hAnsi="Times New Roman" w:cs="Times New Roman"/>
          <w:sz w:val="28"/>
          <w:szCs w:val="28"/>
          <w:lang w:eastAsia="ru-RU"/>
        </w:rPr>
        <w:t>.</w:t>
      </w:r>
    </w:p>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 xml:space="preserve">2. </w:t>
      </w:r>
      <w:r w:rsidRPr="00D2296B">
        <w:rPr>
          <w:sz w:val="28"/>
          <w:szCs w:val="28"/>
          <w:u w:val="single"/>
        </w:rPr>
        <w:t>Письменный метод</w:t>
      </w:r>
      <w:r w:rsidRPr="00D2296B">
        <w:rPr>
          <w:sz w:val="28"/>
          <w:szCs w:val="28"/>
        </w:rPr>
        <w:t xml:space="preserve"> диагностики знаний предусматривает фиксацию результатов ответа с использование любого средства. Это разного рода словарные диктанты, выполнение заданий в письменной форме; заполнение таблиц, формирующее у учащихся умения сравнивать и генерализировать материал; использование занимательных текстов с заранее запланированными ошибками, которые ученики должны исправить. </w:t>
      </w:r>
      <w:r w:rsidRPr="00D2296B">
        <w:rPr>
          <w:i/>
          <w:iCs/>
          <w:sz w:val="28"/>
          <w:szCs w:val="28"/>
        </w:rPr>
        <w:t>Положительными чертами</w:t>
      </w:r>
      <w:r w:rsidRPr="00D2296B">
        <w:rPr>
          <w:sz w:val="28"/>
          <w:szCs w:val="28"/>
        </w:rPr>
        <w:t xml:space="preserve"> данного метода </w:t>
      </w:r>
      <w:r w:rsidRPr="00D2296B">
        <w:rPr>
          <w:sz w:val="28"/>
          <w:szCs w:val="28"/>
        </w:rPr>
        <w:lastRenderedPageBreak/>
        <w:t>являются широкий круг объектов контроля, большая глубина проверки, развитие умения письменно излагать мысли, докумен</w:t>
      </w:r>
      <w:r w:rsidR="00187AE3" w:rsidRPr="00D2296B">
        <w:rPr>
          <w:sz w:val="28"/>
          <w:szCs w:val="28"/>
        </w:rPr>
        <w:t>тальность и сравнимость ответов.</w:t>
      </w:r>
    </w:p>
    <w:p w:rsidR="00187AE3" w:rsidRPr="00D2296B" w:rsidRDefault="00187AE3" w:rsidP="000B764D">
      <w:pPr>
        <w:spacing w:after="0" w:line="240" w:lineRule="auto"/>
        <w:ind w:left="-709" w:right="-1" w:firstLine="709"/>
        <w:jc w:val="both"/>
        <w:rPr>
          <w:rFonts w:ascii="Times New Roman" w:eastAsia="Times New Roman" w:hAnsi="Times New Roman" w:cs="Times New Roman"/>
          <w:sz w:val="28"/>
          <w:szCs w:val="28"/>
          <w:lang w:eastAsia="ru-RU"/>
        </w:rPr>
      </w:pPr>
      <w:r w:rsidRPr="00D2296B">
        <w:rPr>
          <w:rFonts w:ascii="Times New Roman" w:eastAsia="Times New Roman" w:hAnsi="Times New Roman" w:cs="Times New Roman"/>
          <w:sz w:val="28"/>
          <w:szCs w:val="28"/>
          <w:lang w:eastAsia="ru-RU"/>
        </w:rPr>
        <w:t xml:space="preserve">Наиболее актуальным способом диагностики качества знаний по дисциплинам </w:t>
      </w:r>
      <w:proofErr w:type="spellStart"/>
      <w:r w:rsidRPr="00D2296B">
        <w:rPr>
          <w:rFonts w:ascii="Times New Roman" w:eastAsia="Times New Roman" w:hAnsi="Times New Roman" w:cs="Times New Roman"/>
          <w:sz w:val="28"/>
          <w:szCs w:val="28"/>
          <w:lang w:eastAsia="ru-RU"/>
        </w:rPr>
        <w:t>лингвокультурологического</w:t>
      </w:r>
      <w:proofErr w:type="spellEnd"/>
      <w:r w:rsidRPr="00D2296B">
        <w:rPr>
          <w:rFonts w:ascii="Times New Roman" w:eastAsia="Times New Roman" w:hAnsi="Times New Roman" w:cs="Times New Roman"/>
          <w:sz w:val="28"/>
          <w:szCs w:val="28"/>
          <w:lang w:eastAsia="ru-RU"/>
        </w:rPr>
        <w:t xml:space="preserve"> блока в настоящее время является </w:t>
      </w:r>
      <w:r w:rsidRPr="00D2296B">
        <w:rPr>
          <w:rFonts w:ascii="Times New Roman" w:eastAsia="Times New Roman" w:hAnsi="Times New Roman" w:cs="Times New Roman"/>
          <w:sz w:val="28"/>
          <w:szCs w:val="28"/>
          <w:u w:val="single"/>
          <w:lang w:eastAsia="ru-RU"/>
        </w:rPr>
        <w:t>использование дидактических тестов</w:t>
      </w:r>
      <w:r w:rsidRPr="00D2296B">
        <w:rPr>
          <w:rFonts w:ascii="Times New Roman" w:eastAsia="Times New Roman" w:hAnsi="Times New Roman" w:cs="Times New Roman"/>
          <w:sz w:val="28"/>
          <w:szCs w:val="28"/>
          <w:lang w:eastAsia="ru-RU"/>
        </w:rPr>
        <w:t>. Тесты оказываются значительно более качественным и объективным способом оценивания, объективность тестирования достигается путем стандартизации процедуры проведения и проверки показателей качества заданий и тестов целиком. Показатели тестов ориентированы на измерение степени, уровня усвоения ключевых понятий, тем и разделов учебной программы, умений, навыков и прочее. И так как планируется введение обязательного ЕГЭ по иностранному языку, то знакомство с такими тестами начинаем уже с начальной школы.</w:t>
      </w:r>
    </w:p>
    <w:p w:rsidR="00187AE3" w:rsidRPr="00D2296B" w:rsidRDefault="00187AE3" w:rsidP="000B764D">
      <w:pPr>
        <w:spacing w:after="0" w:line="240" w:lineRule="auto"/>
        <w:ind w:left="-709" w:right="-1" w:firstLine="709"/>
        <w:jc w:val="both"/>
        <w:rPr>
          <w:rFonts w:ascii="Times New Roman" w:hAnsi="Times New Roman" w:cs="Times New Roman"/>
          <w:sz w:val="28"/>
          <w:szCs w:val="28"/>
        </w:rPr>
      </w:pPr>
    </w:p>
    <w:p w:rsidR="00D028B8" w:rsidRPr="00D2296B" w:rsidRDefault="00D028B8"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Мониторинг знаний по английскому языку за прошедший учебный год выявил снижение качества образования учащихся. Цель проведения данного мониторинга – определить пути, формы, способы повышения качества образования особенно в 3 и 4 классах, формирование дальнейшей мотивации учащихся 2-х классов к изучению английского языка.</w:t>
      </w:r>
    </w:p>
    <w:p w:rsidR="00D028B8" w:rsidRPr="00D2296B" w:rsidRDefault="00D028B8" w:rsidP="000B764D">
      <w:pPr>
        <w:spacing w:after="0" w:line="240" w:lineRule="auto"/>
        <w:ind w:left="-709" w:right="-1" w:firstLine="709"/>
        <w:jc w:val="both"/>
        <w:rPr>
          <w:rFonts w:ascii="Times New Roman" w:hAnsi="Times New Roman" w:cs="Times New Roman"/>
          <w:color w:val="2B2B2B"/>
          <w:sz w:val="28"/>
          <w:szCs w:val="28"/>
          <w:shd w:val="clear" w:color="auto" w:fill="FFFFFF"/>
        </w:rPr>
      </w:pPr>
      <w:r w:rsidRPr="00D2296B">
        <w:rPr>
          <w:rFonts w:ascii="Times New Roman" w:hAnsi="Times New Roman" w:cs="Times New Roman"/>
          <w:color w:val="2B2B2B"/>
          <w:sz w:val="28"/>
          <w:szCs w:val="28"/>
          <w:shd w:val="clear" w:color="auto" w:fill="FFFFFF"/>
        </w:rPr>
        <w:t>Информация о состоянии образовательных достижений учащихся по иностранному языку, полученная в ходе и по итогам предметного мониторинга, позволяет выявить пути улучшения качества образования и факторы, оказывающие влияние на образовательные достижения учащихся.</w:t>
      </w:r>
    </w:p>
    <w:p w:rsidR="00D028B8" w:rsidRPr="00D2296B" w:rsidRDefault="00D028B8"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color w:val="2B2B2B"/>
          <w:sz w:val="28"/>
          <w:szCs w:val="28"/>
          <w:shd w:val="clear" w:color="auto" w:fill="FFFFFF"/>
        </w:rPr>
        <w:t>Прежде всего, я провела анализ качества образования по классам.</w:t>
      </w:r>
    </w:p>
    <w:tbl>
      <w:tblPr>
        <w:tblStyle w:val="a4"/>
        <w:tblW w:w="0" w:type="auto"/>
        <w:tblLook w:val="04A0" w:firstRow="1" w:lastRow="0" w:firstColumn="1" w:lastColumn="0" w:noHBand="0" w:noVBand="1"/>
      </w:tblPr>
      <w:tblGrid>
        <w:gridCol w:w="2392"/>
        <w:gridCol w:w="2393"/>
        <w:gridCol w:w="2393"/>
        <w:gridCol w:w="2393"/>
      </w:tblGrid>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 xml:space="preserve">Класс </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Кол-во учащихся</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 xml:space="preserve">Качество </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 xml:space="preserve">Успеваемость </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2в</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23</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87%</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100%</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2г</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21</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85%</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100%</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3в</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14</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100%</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100%</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3г</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19</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63%</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94%</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4г</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23</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65%</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91%</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6в</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21</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71%</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100%</w:t>
            </w:r>
          </w:p>
        </w:tc>
      </w:tr>
      <w:tr w:rsidR="00C7320B" w:rsidRPr="00D2296B" w:rsidTr="00C7320B">
        <w:tc>
          <w:tcPr>
            <w:tcW w:w="2392"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7в</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11</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72%</w:t>
            </w:r>
          </w:p>
        </w:tc>
        <w:tc>
          <w:tcPr>
            <w:tcW w:w="2393" w:type="dxa"/>
          </w:tcPr>
          <w:p w:rsidR="00C7320B" w:rsidRPr="00D2296B" w:rsidRDefault="00C7320B" w:rsidP="000B764D">
            <w:pPr>
              <w:pStyle w:val="a3"/>
              <w:spacing w:before="0" w:beforeAutospacing="0" w:after="0" w:afterAutospacing="0"/>
              <w:ind w:left="-709" w:right="-1" w:firstLine="709"/>
              <w:jc w:val="both"/>
              <w:rPr>
                <w:sz w:val="28"/>
                <w:szCs w:val="28"/>
              </w:rPr>
            </w:pPr>
            <w:r w:rsidRPr="00D2296B">
              <w:rPr>
                <w:sz w:val="28"/>
                <w:szCs w:val="28"/>
              </w:rPr>
              <w:t>100%</w:t>
            </w:r>
          </w:p>
        </w:tc>
      </w:tr>
    </w:tbl>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 xml:space="preserve">Высокий уровень качества </w:t>
      </w:r>
      <w:r w:rsidRPr="00D2296B">
        <w:rPr>
          <w:rFonts w:ascii="Times New Roman" w:hAnsi="Times New Roman" w:cs="Times New Roman"/>
          <w:b/>
          <w:sz w:val="28"/>
          <w:szCs w:val="28"/>
        </w:rPr>
        <w:t>во вторых классах</w:t>
      </w:r>
      <w:r w:rsidRPr="00D2296B">
        <w:rPr>
          <w:rFonts w:ascii="Times New Roman" w:hAnsi="Times New Roman" w:cs="Times New Roman"/>
          <w:sz w:val="28"/>
          <w:szCs w:val="28"/>
        </w:rPr>
        <w:t xml:space="preserve"> обусловлен тем, что на первых порах материал для обучения является простым, доступным, интересным: знакомство с персонажами английской культуры, большее количество игр и занимательных заданий, изучаются буквы, звуки английского языка. Слова для чтения предлагаются короткие, в основном одно- и двухсложные, состоящие из букв, похожих на русские по написанию. В учебнике картинки преобладают над текстом, предложено большее количество стихов и песен. Представлены самые элементарные грамматические правила: образование множественного числа имён существительных, формы глагола «быть» в настоящем времени, некоторые несложные конструкции. Лексика на темы: цвета, счёт до 10-ти, животные, спортивные игры. Как показывает практика, данные слова усваиваются достаточно быстро. Персонажи иноязычной культуры, представленные в учебнике, - как правило, герои сказок и мультфильмов, знакомых учащимся.</w:t>
      </w:r>
    </w:p>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 xml:space="preserve">Снижение уровня знаний </w:t>
      </w:r>
      <w:r w:rsidRPr="00D2296B">
        <w:rPr>
          <w:rFonts w:ascii="Times New Roman" w:hAnsi="Times New Roman" w:cs="Times New Roman"/>
          <w:b/>
          <w:sz w:val="28"/>
          <w:szCs w:val="28"/>
        </w:rPr>
        <w:t>в 3 классе</w:t>
      </w:r>
      <w:r w:rsidRPr="00D2296B">
        <w:rPr>
          <w:rFonts w:ascii="Times New Roman" w:hAnsi="Times New Roman" w:cs="Times New Roman"/>
          <w:sz w:val="28"/>
          <w:szCs w:val="28"/>
        </w:rPr>
        <w:t xml:space="preserve"> объясняется возрастающей сложностью материала. Расширяется активный словарь, слов для заучивания становится </w:t>
      </w:r>
      <w:r w:rsidRPr="00D2296B">
        <w:rPr>
          <w:rFonts w:ascii="Times New Roman" w:hAnsi="Times New Roman" w:cs="Times New Roman"/>
          <w:sz w:val="28"/>
          <w:szCs w:val="28"/>
        </w:rPr>
        <w:lastRenderedPageBreak/>
        <w:t xml:space="preserve">больше, слова длиннее, сложнее для чтения. Для запоминания предлагаются не только отдельные слова, но и словосочетания. Начинается целенаправленное обучение правилам чтения слов (в отличие от 2-го класса, где простые слова можно прочитать интуитивно, не зная правила). Распространяются предложения, осложняются определениями, обстоятельствами. Образование общих и специальных вопросов осложнено тем, что порядок </w:t>
      </w:r>
      <w:proofErr w:type="gramStart"/>
      <w:r w:rsidRPr="00D2296B">
        <w:rPr>
          <w:rFonts w:ascii="Times New Roman" w:hAnsi="Times New Roman" w:cs="Times New Roman"/>
          <w:sz w:val="28"/>
          <w:szCs w:val="28"/>
        </w:rPr>
        <w:t>слов</w:t>
      </w:r>
      <w:proofErr w:type="gramEnd"/>
      <w:r w:rsidRPr="00D2296B">
        <w:rPr>
          <w:rFonts w:ascii="Times New Roman" w:hAnsi="Times New Roman" w:cs="Times New Roman"/>
          <w:sz w:val="28"/>
          <w:szCs w:val="28"/>
        </w:rPr>
        <w:t xml:space="preserve"> в английском предложении строго фиксированный, есть вспомогательные глаголы и глаголы-связки, которых нет в русском языке. Начинается не сложная, но объёмная тема – прошедшее время, где глаголы необходимо учить наизусть парами. Как правило, многие учащиеся начинают пасовать перед трудностями.</w:t>
      </w:r>
    </w:p>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 xml:space="preserve">Низкий уровень качества </w:t>
      </w:r>
      <w:r w:rsidRPr="00D2296B">
        <w:rPr>
          <w:rFonts w:ascii="Times New Roman" w:hAnsi="Times New Roman" w:cs="Times New Roman"/>
          <w:b/>
          <w:sz w:val="28"/>
          <w:szCs w:val="28"/>
        </w:rPr>
        <w:t>в 4 классе</w:t>
      </w:r>
      <w:r w:rsidRPr="00D2296B">
        <w:rPr>
          <w:rFonts w:ascii="Times New Roman" w:hAnsi="Times New Roman" w:cs="Times New Roman"/>
          <w:sz w:val="28"/>
          <w:szCs w:val="28"/>
        </w:rPr>
        <w:t xml:space="preserve"> вытекает из вышеперечисленных сложностей. Появляются грамматические правила, такие как степени сравнения, использование артиклей, настоящее, прошедшее и будущее длительное время глагола и другие. Все пройденные темы, естественно, опираются на уже изученные знания, полученные во 2-м и 3-м классах. Если в знаниях есть пробелы, многое из материала усвоить просто невозможно. (Пример: недостаточное усвоение звуков и их обозначений приводит к неспособности прочитать незнакомое слово по транскрипции, неумение изменять слова по числам, лицам и другим характеристикам – следствие незнания слов и т. д.) </w:t>
      </w:r>
    </w:p>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Естественно, если у ученика формируется ситуация неуспеха, это значительно снижает внутреннюю мотивацию ученика к дальнейшему изучению английского языка. Ученик «отсиживается» на уроках, не пытаясь вникнуть, наверстать упущенное. Некоторые родители ищут детям репетиторов, отдают в школы дополнительного образования по английскому языку.</w:t>
      </w:r>
    </w:p>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Главные причины неуспеха:</w:t>
      </w:r>
    </w:p>
    <w:p w:rsidR="00C7320B" w:rsidRPr="00D2296B" w:rsidRDefault="00C7320B" w:rsidP="000B764D">
      <w:pPr>
        <w:pStyle w:val="a5"/>
        <w:numPr>
          <w:ilvl w:val="0"/>
          <w:numId w:val="1"/>
        </w:num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Невнимательность на уроках. Основной объём знаний усваивается на уроках английского языка. Дома наверстать упущенное на уроке возможно, программа даёт для этого все возможности, но далеко не все этими возможностями пользуются.</w:t>
      </w:r>
    </w:p>
    <w:p w:rsidR="00C7320B" w:rsidRPr="00D2296B" w:rsidRDefault="00C7320B" w:rsidP="000B764D">
      <w:pPr>
        <w:pStyle w:val="a5"/>
        <w:numPr>
          <w:ilvl w:val="0"/>
          <w:numId w:val="1"/>
        </w:num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 xml:space="preserve">Игнорирование домашнего задания, особенно устного. Такова специфика предмета, что должны быть усвоены навыки в 4-х видах деятельности: говорение, чтение, письмо, </w:t>
      </w:r>
      <w:proofErr w:type="spellStart"/>
      <w:r w:rsidRPr="00D2296B">
        <w:rPr>
          <w:rFonts w:ascii="Times New Roman" w:hAnsi="Times New Roman" w:cs="Times New Roman"/>
          <w:sz w:val="28"/>
          <w:szCs w:val="28"/>
        </w:rPr>
        <w:t>аудирование</w:t>
      </w:r>
      <w:proofErr w:type="spellEnd"/>
      <w:r w:rsidRPr="00D2296B">
        <w:rPr>
          <w:rFonts w:ascii="Times New Roman" w:hAnsi="Times New Roman" w:cs="Times New Roman"/>
          <w:sz w:val="28"/>
          <w:szCs w:val="28"/>
        </w:rPr>
        <w:t xml:space="preserve">. </w:t>
      </w:r>
    </w:p>
    <w:p w:rsidR="00C7320B" w:rsidRPr="00D2296B" w:rsidRDefault="00C7320B" w:rsidP="000B764D">
      <w:pPr>
        <w:pStyle w:val="a5"/>
        <w:numPr>
          <w:ilvl w:val="0"/>
          <w:numId w:val="1"/>
        </w:num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Отсутствие должного контроля со стороны родителей.</w:t>
      </w:r>
    </w:p>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 xml:space="preserve">Остальные причины вытекают из вышеперечисленных: усложнение материала, недостаток знаний по предыдущим темам, </w:t>
      </w:r>
      <w:proofErr w:type="spellStart"/>
      <w:r w:rsidRPr="00D2296B">
        <w:rPr>
          <w:rFonts w:ascii="Times New Roman" w:hAnsi="Times New Roman" w:cs="Times New Roman"/>
          <w:sz w:val="28"/>
          <w:szCs w:val="28"/>
        </w:rPr>
        <w:t>несформированность</w:t>
      </w:r>
      <w:proofErr w:type="spellEnd"/>
      <w:r w:rsidRPr="00D2296B">
        <w:rPr>
          <w:rFonts w:ascii="Times New Roman" w:hAnsi="Times New Roman" w:cs="Times New Roman"/>
          <w:sz w:val="28"/>
          <w:szCs w:val="28"/>
        </w:rPr>
        <w:t xml:space="preserve"> необходимых умений и навыков ранее.</w:t>
      </w:r>
    </w:p>
    <w:p w:rsidR="00C7320B" w:rsidRPr="00D2296B" w:rsidRDefault="00C7320B" w:rsidP="000B764D">
      <w:p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В связи с этим, необходимо определить пути дальнейшей работы с учащимися, выстроить систему обучения таким образом, чтобы улучшить качество образования по данному предмету, повысить мотивацию учащихся к овладению иностранным языком. Я предлагаю применить следующие методы и приёмы.</w:t>
      </w:r>
    </w:p>
    <w:p w:rsidR="00C7320B" w:rsidRPr="00D2296B" w:rsidRDefault="00C7320B" w:rsidP="000B764D">
      <w:pPr>
        <w:pStyle w:val="a5"/>
        <w:numPr>
          <w:ilvl w:val="0"/>
          <w:numId w:val="2"/>
        </w:num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 xml:space="preserve">Обеспечить учащихся аудиоматериалами к учебнику для работы над </w:t>
      </w:r>
      <w:proofErr w:type="spellStart"/>
      <w:r w:rsidRPr="00D2296B">
        <w:rPr>
          <w:rFonts w:ascii="Times New Roman" w:hAnsi="Times New Roman" w:cs="Times New Roman"/>
          <w:sz w:val="28"/>
          <w:szCs w:val="28"/>
        </w:rPr>
        <w:t>аудированием</w:t>
      </w:r>
      <w:proofErr w:type="spellEnd"/>
      <w:r w:rsidRPr="00D2296B">
        <w:rPr>
          <w:rFonts w:ascii="Times New Roman" w:hAnsi="Times New Roman" w:cs="Times New Roman"/>
          <w:sz w:val="28"/>
          <w:szCs w:val="28"/>
        </w:rPr>
        <w:t xml:space="preserve"> дома, повторения материала урока.</w:t>
      </w:r>
    </w:p>
    <w:p w:rsidR="00C7320B" w:rsidRPr="00D2296B" w:rsidRDefault="00C7320B" w:rsidP="000B764D">
      <w:pPr>
        <w:pStyle w:val="a5"/>
        <w:numPr>
          <w:ilvl w:val="0"/>
          <w:numId w:val="2"/>
        </w:num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Работать с родителями, выходить на собрания, поддерживать связь через интернет, отвечать на вопросы, подробнее объяснять домашнее задание.</w:t>
      </w:r>
    </w:p>
    <w:p w:rsidR="00A65C4E" w:rsidRPr="00D2296B" w:rsidRDefault="00C7320B" w:rsidP="000B764D">
      <w:pPr>
        <w:pStyle w:val="a5"/>
        <w:numPr>
          <w:ilvl w:val="0"/>
          <w:numId w:val="2"/>
        </w:numPr>
        <w:spacing w:after="0" w:line="240" w:lineRule="auto"/>
        <w:ind w:left="-709" w:right="-1" w:firstLine="709"/>
        <w:jc w:val="both"/>
        <w:rPr>
          <w:rFonts w:ascii="Times New Roman" w:hAnsi="Times New Roman" w:cs="Times New Roman"/>
          <w:sz w:val="28"/>
          <w:szCs w:val="28"/>
        </w:rPr>
      </w:pPr>
      <w:r w:rsidRPr="00D2296B">
        <w:rPr>
          <w:rFonts w:ascii="Times New Roman" w:hAnsi="Times New Roman" w:cs="Times New Roman"/>
          <w:sz w:val="28"/>
          <w:szCs w:val="28"/>
        </w:rPr>
        <w:t>Создавать раздаточный материал с использований таблиц, схем, занимательных заданий. Предлагать дополнительные задания с пояснениями с целью наверстать неусвоенный материал. Давать задания на каникулы.</w:t>
      </w:r>
    </w:p>
    <w:sectPr w:rsidR="00A65C4E" w:rsidRPr="00D2296B" w:rsidSect="000B764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4C6"/>
    <w:multiLevelType w:val="hybridMultilevel"/>
    <w:tmpl w:val="BA386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51FB9"/>
    <w:multiLevelType w:val="hybridMultilevel"/>
    <w:tmpl w:val="60787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AC"/>
    <w:rsid w:val="000B764D"/>
    <w:rsid w:val="00187AE3"/>
    <w:rsid w:val="007E76B6"/>
    <w:rsid w:val="00A65C4E"/>
    <w:rsid w:val="00B33CC5"/>
    <w:rsid w:val="00BA4D7F"/>
    <w:rsid w:val="00C7320B"/>
    <w:rsid w:val="00D028B8"/>
    <w:rsid w:val="00D2296B"/>
    <w:rsid w:val="00D9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0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73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320B"/>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0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73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320B"/>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777z</dc:creator>
  <cp:lastModifiedBy>777z</cp:lastModifiedBy>
  <cp:revision>2</cp:revision>
  <cp:lastPrinted>2018-06-20T18:42:00Z</cp:lastPrinted>
  <dcterms:created xsi:type="dcterms:W3CDTF">2019-10-05T15:40:00Z</dcterms:created>
  <dcterms:modified xsi:type="dcterms:W3CDTF">2019-10-05T15:40:00Z</dcterms:modified>
</cp:coreProperties>
</file>